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AC" w:rsidRDefault="00E361AC" w:rsidP="00E361AC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Формы обучения: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bottom"/>
        <w:rPr>
          <w:rFonts w:ascii="Arial" w:eastAsia="Times New Roman" w:hAnsi="Arial" w:cs="Arial"/>
          <w:color w:val="2D2F3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F32"/>
          <w:sz w:val="21"/>
          <w:szCs w:val="21"/>
          <w:lang w:eastAsia="ru-RU"/>
        </w:rPr>
        <w:t>очная (</w:t>
      </w:r>
      <w:r>
        <w:rPr>
          <w:rFonts w:ascii="Arial" w:eastAsia="Times New Roman" w:hAnsi="Arial" w:cs="Arial"/>
          <w:b/>
          <w:bCs/>
          <w:color w:val="2D2F32"/>
          <w:sz w:val="21"/>
          <w:szCs w:val="21"/>
          <w:lang w:eastAsia="ru-RU"/>
        </w:rPr>
        <w:t>Не используются</w:t>
      </w:r>
      <w:r>
        <w:rPr>
          <w:rFonts w:ascii="Arial" w:eastAsia="Times New Roman" w:hAnsi="Arial" w:cs="Arial"/>
          <w:color w:val="2D2F32"/>
          <w:sz w:val="21"/>
          <w:szCs w:val="21"/>
          <w:lang w:eastAsia="ru-RU"/>
        </w:rPr>
        <w:t> электронное обучение и дистанционные образовательные технологии)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Нормативный срок обучения: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bottom"/>
        <w:rPr>
          <w:rFonts w:ascii="Arial" w:eastAsia="Times New Roman" w:hAnsi="Arial" w:cs="Arial"/>
          <w:color w:val="2D2F3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F32"/>
          <w:sz w:val="21"/>
          <w:szCs w:val="21"/>
          <w:lang w:eastAsia="ru-RU"/>
        </w:rPr>
        <w:t>6 лет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аккредитация: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bottom"/>
        <w:rPr>
          <w:rFonts w:ascii="Arial" w:eastAsia="Times New Roman" w:hAnsi="Arial" w:cs="Arial"/>
          <w:color w:val="2D2F3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F32"/>
          <w:sz w:val="21"/>
          <w:szCs w:val="21"/>
          <w:lang w:eastAsia="ru-RU"/>
        </w:rPr>
        <w:t>отсутствует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Языки, на которых осуществляется образование (обучение):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bottom"/>
        <w:rPr>
          <w:rFonts w:ascii="Arial" w:eastAsia="Times New Roman" w:hAnsi="Arial" w:cs="Arial"/>
          <w:color w:val="2D2F3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F32"/>
          <w:sz w:val="21"/>
          <w:szCs w:val="21"/>
          <w:lang w:eastAsia="ru-RU"/>
        </w:rPr>
        <w:t>русский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образовательной программы:</w:t>
      </w:r>
    </w:p>
    <w:p w:rsidR="00E361AC" w:rsidRDefault="00E361AC" w:rsidP="00E361AC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45" w:line="240" w:lineRule="auto"/>
        <w:ind w:left="375"/>
        <w:textAlignment w:val="bottom"/>
        <w:rPr>
          <w:rFonts w:ascii="Arial" w:eastAsia="Times New Roman" w:hAnsi="Arial" w:cs="Arial"/>
          <w:color w:val="2D2F3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t>Образовательная программа МАДОУ (далее Программа) разработана в соответствие с Законом «Об образовании в Российской Федерации» (ФЗ № 273 от 29 декабря 2012 г.) и Приказом МОН РФ (Минобрнауки РФ) от 17 октября 2013 г. № 1155 «Об утверждении федерального государственного стандарта дошкольного образования» (ФГОС).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Программа призвана обеспечить воспитание у дошкольников познавательной активности, привычки к здоровому активному образу жизни, формирование основ готовности самостоятельно учиться в течение всей жизни (навыков непрерывного образования) через предоставление им возможности влиять на содержание, технологии и отдельные элементы образовательного процесса (ст.12 и 13 «Конвенции о правах ребенка»).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Целью работы с детьми является поддержка становления, проявления и развития у воспитанников основ ключевых компетентностей (социальной, коммуникативной, деятельностной, информационной,  здоровьесберегающей), признаками  приобретения и проявления которых является проявление детьми инициативности, активности, любознательности, самостоятельности и ответственности в решении бытовых, образовательных, поисково-практических, игровых и иных, сообразных дошкольному детству.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Цели и задачи организации работы  с детьми раннего возраста (1–3)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 раннем возрасте (от 1 до 3 лет) ребенок при помощи взрослого усваивает основные способы использования предметов. У него начинает активно развиваться предметная деятельность.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Продолжается развитие всех органов и физиологических систем, совершенствуются их функции. Ребенок становится более подвижным и самостоятельным («Я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Цели и задачи организации работы  с детьми младшего дошкольного возраста (3–5)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 младшем дошкольном возрасте происходит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недопустимо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Происходит дальнейшее расширение круга общения ребенка с миром взрослых людей и детей. Взрослый воспринимается им как образец, он берет с него пример, хочет быть во всем похожим на него.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 результате возникает противоречие между желаниями ребенка и его возможностями. Разрешение этого противоречия происходит в игре, прежде всего в сюжетно-ролевой, где ребенок начинает осваивать систему человеческих отношений, учится ориентироваться в смыслах человеческой деятельности.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 xml:space="preserve">Возникает и развивается новая форма общения со взрослым — общение на познавательные темы, которое сначала включено в совместную со взрослым познавательную деятельность. На основе совместной деятельности — в первую очередь игры — формируется детское 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lastRenderedPageBreak/>
        <w:t>общество. На пятом году жизни ребенок постепенно начинает осознавать свое положение среди сверстников.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Возраст от двух до пяти уникален по своему значению для речевого развития: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Познавательное развитие в младшем дошкольном возрасте продолжается 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— это позволяет им каждый день делать удивительные «открытия».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К пяти годам начинает формироваться произвольность — в игре, рисовании, конструировании и др. (деятельность по замыслу).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 младшем дошкольном возрасте развиваются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попытки понять их содержание.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Цели и задачи организации работы  с детьми старшего дошкольного возраста (5–7)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 старшем дошкольном возрасте 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невелики.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Кроме сюжетно-ролевых игр, у детей интенсивно развиваются и другие формы игры — режиссерские, игры-фантазии, игры с правилами.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сообщество. Существенно увеличиваются интенсивность и широта круга общения.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Познавательные процессы претерпевают качественные изменения; развивается произвольность действий.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Наряду с наглядно-образным мышлением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предмет — система предметов и т.д.).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Старшие дошкольники проявляют большой интерес к природе —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Планируемые результаты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 результате реализации Программы и приобретения индивидуального социо-культурного опыта вне дошкольной организации  к завершению дошкольного образования ребенок будет обладать определенным уровнем ключевых компетентностей, а так же  предпосылками для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lastRenderedPageBreak/>
        <w:t>положительного отношения к миру, другим людям и самому себе;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понимания своих чувств и чувств других, проявления чуткости и уважения к другим людям, доверия и эмпатии;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эмоциональной стабильности, уверенности в себе и своих силах;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способности к целеполаганию и волевым усилиям;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способности и готовности соблюдать правила, устанавливать и поддерживать стабильные социальные связи и отношения, конструктивно решать конфликтные ситуации;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инициативности, самостоятельности и ответственности в разных видах деятельности – игре, общении, конструировании и других, способности самостоятельно выбирать себе род занятий и участников по совместной деятельности; проявлять интерес к учению;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восприятия информации на слух, выделения звуков в словах, выражения с помощью устной речи своих мыслей, желаний и потребностей логически связно и  понятным для других образом; связной передачи простых сюжетов сказок и детской литературы своими словами;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устанавливать причинно-следственные и пространственно-временные отношения и закономерности, желания наблюдать, экспериментировать, формулировать собственные выводы, различать условную и реальную ситуации;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проявления творческой инициативы в сюжетной игре, в специфически детских (продуктивных) видах деятельности;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обладания первичными представлениями и знаниями о себе, предметном, природном, социальном и культурном мире, в котором он живет; элементарными представлениями о мире живой природы, естествознания, математики, истории и т.п., предпосылками грамотности, функциями письма и чтения;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обладания развитой крупной и мелкой моторикой, ловкостью, выносливостью, силой, скоростью и т.д.; способностью и готовностью  к самоконтролю, саморегуляции и двигательной активности;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здорового и безопасного образа жизни, личной гигиены, в том числе умениями самостоятельно использовать предметы личной гигиены, соблюдать правила личной гигиены, ответственно относиться к своему здоровью, соблюдать правила безопасного поведения.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Оценка текущей (актуальной) ситуации в развитии детей, а так же определение ближайших перспектив развития осуществляется на основе сбора фактов, полученных в ходе наблюдения, анализа продуктов детской деятельности, общения с детьми с последующим обсуждением всеми участниками образовательных отношений, и, прежде всего, с родителями.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Реализация целей и задач Программы обеспечивается в ходе разнообразных образовательных событий: интегрированных комплексно-тематических образовательных проектов, тематических дней, социальных акций, праздников и др.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Преимущество в течение всего отдается свободной самостоятельной игре и другой деятельности по выбору ребенка.</w:t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D2F32"/>
          <w:sz w:val="20"/>
          <w:szCs w:val="20"/>
          <w:lang w:eastAsia="ru-RU"/>
        </w:rPr>
        <w:br/>
        <w:t>По данной Программе электронные и дистанционные образовательные технологии не используются.</w:t>
      </w:r>
    </w:p>
    <w:p w:rsidR="00C21D87" w:rsidRDefault="00C21D87">
      <w:bookmarkStart w:id="0" w:name="_GoBack"/>
      <w:bookmarkEnd w:id="0"/>
    </w:p>
    <w:sectPr w:rsidR="00C2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9529E"/>
    <w:multiLevelType w:val="multilevel"/>
    <w:tmpl w:val="813E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02"/>
    <w:rsid w:val="000F0F02"/>
    <w:rsid w:val="00C21D87"/>
    <w:rsid w:val="00E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7F1C8-8E62-4460-A599-CB809B5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2023-06-27T09:14:00Z</dcterms:created>
  <dcterms:modified xsi:type="dcterms:W3CDTF">2023-06-27T09:14:00Z</dcterms:modified>
</cp:coreProperties>
</file>